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Will the tablet kiosks use a wireless keyboard or will they just use the touchscreen keyboard?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Pros: Easier to type on a real keyboard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Cons: How do you secure a real keyboard?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Answers from Cheryl: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Wireless Keyboard?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Should support both.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They looked into mounts for keyboard and should be able to secure it. They also use keyboards for other computers.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Thinks most kids are used to onscreen keyboards, so would really prefer the option is there for both.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Adults may find keyboard easier to work with.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Does the Discovery Center want data analysis for each question? Ex. pie chart for every multiple choice question with % and frequency for each answer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Cheryl - loves to collect and analyze data. would like more ways to view data.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Likes the idea of a quick look, and then going more in depth later (with a spreadsheet or something)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Does the Discovery Center want pictures for each exhibit? (this would mean having an additional page in the admin console for uploading pictures per exhibit)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Yes she’s interested in pictures. It should look exciting and fun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have some pictures already but her husband would be able to take some more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we gave her some needs for size/dimensions they could resize pictures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may have seasonal pictures (halloween, christmas, etc.)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We should figure out where the pictures are used. Allow some way to enable/disable pictures.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 Do you have an example children's survey for us to look at?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Check out the surveys from other museums that Donna linked in her original write up.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Wireframe feedback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They like the progress bar, definitely do that.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They also prefer bluetooth keyboards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Adults would be more apt to answer longer questions with a keyboard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Likes the stars for rating exhibits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They use a program called “Conscious Discipline”. It has a lot of symbols (smiley faces and such) that depict certain behavior. Wouldn’t want to confuse those symbols with that.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She may be able to come up with some suggestions to use.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Nothing that she doesn’t like.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She will work on the picture aspect and put together some more thoughts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Will try to come up with some more childrens question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