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u w:val="single"/>
          <w:rtl w:val="0"/>
        </w:rPr>
        <w:t xml:space="preserve">Childrens Survey</w:t>
      </w:r>
    </w:p>
    <w:p w:rsidR="00000000" w:rsidDel="00000000" w:rsidP="00000000" w:rsidRDefault="00000000" w:rsidRPr="00000000">
      <w:pPr>
        <w:contextualSpacing w:val="0"/>
      </w:pPr>
      <w:r w:rsidDel="00000000" w:rsidR="00000000" w:rsidRPr="00000000">
        <w:rPr>
          <w:rtl w:val="0"/>
        </w:rPr>
        <w:t xml:space="preserve">The main page includes a link to the survey and buttons for rating the exhibits (note that these buttons will be elongated to 1 exhibit per row, with a picture for the exhibit). The exhibit rating is separate from the survey because more people might want to rate exhibits than take a full blown survey, even if its only 4 or 5 questions.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exhibit rating uses stars to be more colorful, but the scale is still stated so that the children know which rating means “they liked the exhibit” and which rating means “they didn’t like the exhibit”.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main survey will go question by question. A confirmation will prompt when the children press back on the first question saying “are you sure you want to quit the survey?”</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